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D83AC" w14:textId="6121D593" w:rsidR="00B77570" w:rsidRPr="00880263" w:rsidRDefault="00B77570" w:rsidP="00B77570">
      <w:pPr>
        <w:spacing w:before="120" w:after="120" w:line="360" w:lineRule="auto"/>
        <w:jc w:val="center"/>
        <w:rPr>
          <w:rFonts w:ascii="Century Gothic" w:hAnsi="Century Gothic"/>
          <w:b/>
          <w:bCs/>
          <w:lang w:val="en-US"/>
        </w:rPr>
      </w:pPr>
      <w:r w:rsidRPr="00880263">
        <w:rPr>
          <w:rFonts w:ascii="Century Gothic" w:hAnsi="Century Gothic"/>
          <w:b/>
          <w:bCs/>
          <w:lang w:val="en-US"/>
        </w:rPr>
        <w:t xml:space="preserve">DIREKSIE BEPALING RAKENDE </w:t>
      </w:r>
      <w:r w:rsidR="008A4D69" w:rsidRPr="00880263">
        <w:rPr>
          <w:rFonts w:ascii="Century Gothic" w:hAnsi="Century Gothic"/>
          <w:b/>
          <w:bCs/>
          <w:lang w:val="en-US"/>
        </w:rPr>
        <w:t xml:space="preserve">BOETES VIR DIE NIENAKOMING VAN DIE VEREISTE OM VOORAF GOEDKEURING VIR SEKERE BORDE, TEKENS EN PLAKKATE </w:t>
      </w:r>
      <w:r w:rsidR="00880263" w:rsidRPr="00880263">
        <w:rPr>
          <w:rFonts w:ascii="Century Gothic" w:hAnsi="Century Gothic"/>
          <w:b/>
          <w:bCs/>
          <w:lang w:val="en-US"/>
        </w:rPr>
        <w:t>TE VERKRY</w:t>
      </w:r>
      <w:r w:rsidR="008A4D69" w:rsidRPr="00880263">
        <w:rPr>
          <w:rFonts w:ascii="Century Gothic" w:hAnsi="Century Gothic"/>
          <w:b/>
          <w:bCs/>
          <w:lang w:val="en-US"/>
        </w:rPr>
        <w:t xml:space="preserve"> </w:t>
      </w:r>
    </w:p>
    <w:p w14:paraId="59C15CF4" w14:textId="77777777" w:rsidR="00B77570" w:rsidRDefault="00B77570" w:rsidP="004F468E">
      <w:pPr>
        <w:spacing w:before="120" w:after="120" w:line="360" w:lineRule="auto"/>
        <w:rPr>
          <w:rFonts w:ascii="Century Gothic" w:hAnsi="Century Gothic"/>
          <w:i/>
          <w:iCs/>
          <w:lang w:val="en-US"/>
        </w:rPr>
      </w:pPr>
    </w:p>
    <w:p w14:paraId="2F4A9704" w14:textId="43FE0E12" w:rsidR="00CE1D44" w:rsidRPr="004F468E" w:rsidRDefault="00803E4E" w:rsidP="004F468E">
      <w:pPr>
        <w:spacing w:before="120" w:after="120" w:line="360" w:lineRule="auto"/>
        <w:rPr>
          <w:rFonts w:ascii="Century Gothic" w:hAnsi="Century Gothic"/>
          <w:lang w:val="en-US"/>
        </w:rPr>
      </w:pPr>
      <w:r w:rsidRPr="004F468E">
        <w:rPr>
          <w:rFonts w:ascii="Century Gothic" w:hAnsi="Century Gothic"/>
          <w:i/>
          <w:iCs/>
          <w:lang w:val="en-US"/>
        </w:rPr>
        <w:t xml:space="preserve">Aangesien </w:t>
      </w:r>
      <w:r w:rsidRPr="004F468E">
        <w:rPr>
          <w:rFonts w:ascii="Century Gothic" w:hAnsi="Century Gothic"/>
          <w:lang w:val="en-US"/>
        </w:rPr>
        <w:t xml:space="preserve">Orania Aandeleblok (RF) (Edms.) Bpk. (hierna “OAB”) ingevolge gebiedende wetgewing, die Akte van Oprigting en </w:t>
      </w:r>
      <w:proofErr w:type="spellStart"/>
      <w:r w:rsidRPr="004F468E">
        <w:rPr>
          <w:rFonts w:ascii="Century Gothic" w:hAnsi="Century Gothic"/>
          <w:lang w:val="en-US"/>
        </w:rPr>
        <w:t>Gebruiksooreenkoms</w:t>
      </w:r>
      <w:proofErr w:type="spellEnd"/>
      <w:r w:rsidRPr="004F468E">
        <w:rPr>
          <w:rFonts w:ascii="Century Gothic" w:hAnsi="Century Gothic"/>
          <w:lang w:val="en-US"/>
        </w:rPr>
        <w:t xml:space="preserve"> met aandeelhouers die verpligting het om </w:t>
      </w:r>
      <w:r w:rsidR="006E5B82">
        <w:rPr>
          <w:rFonts w:ascii="Century Gothic" w:hAnsi="Century Gothic"/>
          <w:lang w:val="en-US"/>
        </w:rPr>
        <w:t>toe te sien</w:t>
      </w:r>
      <w:r w:rsidRPr="004F468E">
        <w:rPr>
          <w:rFonts w:ascii="Century Gothic" w:hAnsi="Century Gothic"/>
          <w:lang w:val="en-US"/>
        </w:rPr>
        <w:t xml:space="preserve"> </w:t>
      </w:r>
      <w:r w:rsidR="006E5B82">
        <w:rPr>
          <w:rFonts w:ascii="Century Gothic" w:hAnsi="Century Gothic"/>
          <w:lang w:val="en-US"/>
        </w:rPr>
        <w:t xml:space="preserve">dat aandeelhouers en inwoners Orania se </w:t>
      </w:r>
      <w:proofErr w:type="spellStart"/>
      <w:r w:rsidR="006E5B82">
        <w:rPr>
          <w:rFonts w:ascii="Century Gothic" w:hAnsi="Century Gothic"/>
          <w:lang w:val="en-US"/>
        </w:rPr>
        <w:t>grondgebruikbestuurskema</w:t>
      </w:r>
      <w:proofErr w:type="spellEnd"/>
      <w:r w:rsidR="006E5B82">
        <w:rPr>
          <w:rFonts w:ascii="Century Gothic" w:hAnsi="Century Gothic"/>
          <w:lang w:val="en-US"/>
        </w:rPr>
        <w:t xml:space="preserve"> sal nakom</w:t>
      </w:r>
      <w:r w:rsidRPr="004F468E">
        <w:rPr>
          <w:rFonts w:ascii="Century Gothic" w:hAnsi="Century Gothic"/>
          <w:lang w:val="en-US"/>
        </w:rPr>
        <w:t>; en,</w:t>
      </w:r>
    </w:p>
    <w:p w14:paraId="41836421" w14:textId="0CCB39E7" w:rsidR="00803E4E" w:rsidRPr="004F468E" w:rsidRDefault="00803E4E" w:rsidP="004F468E">
      <w:pPr>
        <w:spacing w:before="120" w:after="120" w:line="360" w:lineRule="auto"/>
        <w:rPr>
          <w:rFonts w:ascii="Century Gothic" w:hAnsi="Century Gothic"/>
          <w:lang w:val="en-US"/>
        </w:rPr>
      </w:pPr>
      <w:r w:rsidRPr="004F468E">
        <w:rPr>
          <w:rFonts w:ascii="Century Gothic" w:hAnsi="Century Gothic"/>
          <w:i/>
          <w:iCs/>
          <w:lang w:val="en-US"/>
        </w:rPr>
        <w:t xml:space="preserve">Aangesien </w:t>
      </w:r>
      <w:r w:rsidRPr="004F468E">
        <w:rPr>
          <w:rFonts w:ascii="Century Gothic" w:hAnsi="Century Gothic"/>
          <w:lang w:val="en-US"/>
        </w:rPr>
        <w:t xml:space="preserve">die oprigting van enige advertensieborde, kennisgewingborde, </w:t>
      </w:r>
      <w:proofErr w:type="spellStart"/>
      <w:r w:rsidRPr="004F468E">
        <w:rPr>
          <w:rFonts w:ascii="Century Gothic" w:hAnsi="Century Gothic"/>
          <w:lang w:val="en-US"/>
        </w:rPr>
        <w:t>inligtingsborde</w:t>
      </w:r>
      <w:proofErr w:type="spellEnd"/>
      <w:r w:rsidRPr="004F468E">
        <w:rPr>
          <w:rFonts w:ascii="Century Gothic" w:hAnsi="Century Gothic"/>
          <w:lang w:val="en-US"/>
        </w:rPr>
        <w:t xml:space="preserve"> of enige ander borde, tekens en plakkate,</w:t>
      </w:r>
      <w:r w:rsidR="006E5B82">
        <w:rPr>
          <w:rFonts w:ascii="Century Gothic" w:hAnsi="Century Gothic"/>
          <w:lang w:val="en-US"/>
        </w:rPr>
        <w:t xml:space="preserve"> op enige aandeleblok of gemeenskaplike </w:t>
      </w:r>
      <w:proofErr w:type="spellStart"/>
      <w:r w:rsidR="006E5B82">
        <w:rPr>
          <w:rFonts w:ascii="Century Gothic" w:hAnsi="Century Gothic"/>
          <w:lang w:val="en-US"/>
        </w:rPr>
        <w:t>gebruiksarea</w:t>
      </w:r>
      <w:proofErr w:type="spellEnd"/>
      <w:r w:rsidR="006E5B82">
        <w:rPr>
          <w:rFonts w:ascii="Century Gothic" w:hAnsi="Century Gothic"/>
          <w:lang w:val="en-US"/>
        </w:rPr>
        <w:t>,</w:t>
      </w:r>
      <w:r w:rsidRPr="004F468E">
        <w:rPr>
          <w:rFonts w:ascii="Century Gothic" w:hAnsi="Century Gothic"/>
          <w:lang w:val="en-US"/>
        </w:rPr>
        <w:t xml:space="preserve"> tensy die teendeel deur OAB bepaal is, slegs by wyse van toestemming deur die Direksie van OAB, of sy gemagtigde komitee (Grondgebruik Bestuurskomitee</w:t>
      </w:r>
      <w:r w:rsidR="0049237B" w:rsidRPr="004F468E">
        <w:rPr>
          <w:rFonts w:ascii="Century Gothic" w:hAnsi="Century Gothic"/>
          <w:lang w:val="en-US"/>
        </w:rPr>
        <w:t xml:space="preserve"> – “GGBK”</w:t>
      </w:r>
      <w:r w:rsidRPr="004F468E">
        <w:rPr>
          <w:rFonts w:ascii="Century Gothic" w:hAnsi="Century Gothic"/>
          <w:lang w:val="en-US"/>
        </w:rPr>
        <w:t>), kan geskied en nog altyd geskied het;</w:t>
      </w:r>
    </w:p>
    <w:p w14:paraId="137E36FC" w14:textId="3DA97873" w:rsidR="00803E4E" w:rsidRPr="004F468E" w:rsidRDefault="00803E4E" w:rsidP="004F468E">
      <w:pPr>
        <w:spacing w:before="120" w:after="120" w:line="360" w:lineRule="auto"/>
        <w:rPr>
          <w:rFonts w:ascii="Century Gothic" w:hAnsi="Century Gothic"/>
          <w:lang w:val="en-US"/>
        </w:rPr>
      </w:pPr>
      <w:r w:rsidRPr="004F468E">
        <w:rPr>
          <w:rFonts w:ascii="Century Gothic" w:hAnsi="Century Gothic"/>
          <w:lang w:val="en-US"/>
        </w:rPr>
        <w:t>Word die volgende bepaling deur die Direksie van OAB gemaak:</w:t>
      </w:r>
    </w:p>
    <w:p w14:paraId="677B9C3C" w14:textId="75D3F328" w:rsidR="0049237B" w:rsidRPr="004F468E" w:rsidRDefault="00803E4E" w:rsidP="004F468E">
      <w:pPr>
        <w:pStyle w:val="ListParagraph"/>
        <w:numPr>
          <w:ilvl w:val="0"/>
          <w:numId w:val="2"/>
        </w:numPr>
        <w:spacing w:before="120" w:after="120" w:line="360" w:lineRule="auto"/>
        <w:rPr>
          <w:rFonts w:ascii="Century Gothic" w:eastAsia="MS Mincho" w:hAnsi="Century Gothic" w:cs="Arial"/>
          <w:lang w:val="en-US"/>
        </w:rPr>
      </w:pPr>
      <w:r w:rsidRPr="004F468E">
        <w:rPr>
          <w:rFonts w:ascii="Century Gothic" w:hAnsi="Century Gothic"/>
          <w:lang w:val="en-US"/>
        </w:rPr>
        <w:t xml:space="preserve">In die geval waar enige persoon ’n advertensiebord, kennisgewingbord, </w:t>
      </w:r>
      <w:proofErr w:type="spellStart"/>
      <w:r w:rsidRPr="004F468E">
        <w:rPr>
          <w:rFonts w:ascii="Century Gothic" w:hAnsi="Century Gothic"/>
          <w:lang w:val="en-US"/>
        </w:rPr>
        <w:t>inligtingsbord</w:t>
      </w:r>
      <w:proofErr w:type="spellEnd"/>
      <w:r w:rsidRPr="004F468E">
        <w:rPr>
          <w:rFonts w:ascii="Century Gothic" w:hAnsi="Century Gothic"/>
          <w:lang w:val="en-US"/>
        </w:rPr>
        <w:t xml:space="preserve"> of enige ander bord, teken of plakkaat </w:t>
      </w:r>
      <w:r w:rsidR="006E5B82">
        <w:rPr>
          <w:rFonts w:ascii="Century Gothic" w:hAnsi="Century Gothic"/>
          <w:lang w:val="en-US"/>
        </w:rPr>
        <w:t xml:space="preserve">op ‘n aandeleblok of gemeenskaplike </w:t>
      </w:r>
      <w:proofErr w:type="spellStart"/>
      <w:r w:rsidR="006E5B82">
        <w:rPr>
          <w:rFonts w:ascii="Century Gothic" w:hAnsi="Century Gothic"/>
          <w:lang w:val="en-US"/>
        </w:rPr>
        <w:t>gebruiksarea</w:t>
      </w:r>
      <w:proofErr w:type="spellEnd"/>
      <w:r w:rsidR="006E5B82">
        <w:rPr>
          <w:rFonts w:ascii="Century Gothic" w:hAnsi="Century Gothic"/>
          <w:lang w:val="en-US"/>
        </w:rPr>
        <w:t xml:space="preserve"> </w:t>
      </w:r>
      <w:r w:rsidRPr="004F468E">
        <w:rPr>
          <w:rFonts w:ascii="Century Gothic" w:hAnsi="Century Gothic"/>
          <w:lang w:val="en-US"/>
        </w:rPr>
        <w:t xml:space="preserve">en waarvoor ingevolge die Skemareëls asook bepalings van die Direksie vooraf toestemming van die Direksie, of </w:t>
      </w:r>
      <w:r w:rsidR="0049237B" w:rsidRPr="004F468E">
        <w:rPr>
          <w:rFonts w:ascii="Century Gothic" w:hAnsi="Century Gothic"/>
          <w:lang w:val="en-US"/>
        </w:rPr>
        <w:t>die GGBK</w:t>
      </w:r>
      <w:r w:rsidRPr="004F468E">
        <w:rPr>
          <w:rFonts w:ascii="Century Gothic" w:hAnsi="Century Gothic"/>
          <w:lang w:val="en-US"/>
        </w:rPr>
        <w:t xml:space="preserve">, moet verkry voordat sodanige bord, teken of plakkaat opgerig </w:t>
      </w:r>
      <w:r w:rsidR="0049237B" w:rsidRPr="004F468E">
        <w:rPr>
          <w:rFonts w:ascii="Century Gothic" w:hAnsi="Century Gothic"/>
          <w:lang w:val="en-US"/>
        </w:rPr>
        <w:t>en/</w:t>
      </w:r>
      <w:r w:rsidRPr="004F468E">
        <w:rPr>
          <w:rFonts w:ascii="Century Gothic" w:hAnsi="Century Gothic"/>
          <w:lang w:val="en-US"/>
        </w:rPr>
        <w:t>of vertoon mag word</w:t>
      </w:r>
      <w:r w:rsidR="0049237B" w:rsidRPr="004F468E">
        <w:rPr>
          <w:rFonts w:ascii="Century Gothic" w:hAnsi="Century Gothic"/>
          <w:lang w:val="en-US"/>
        </w:rPr>
        <w:t xml:space="preserve">, wel voortgaan en die betrokke bord, teken of plakkaat sonder die vereiste vooraf aansoek en goedkeuring oprig en/of vertoon; is sodanige persoon vir die ongemagtigde vertoon en/of oprig van ’n bord, teken of plakkaat aanspreeklik vir die betaling van ’n boete van </w:t>
      </w:r>
      <w:r w:rsidR="0049237B" w:rsidRPr="004F468E">
        <w:rPr>
          <w:rFonts w:ascii="Arial" w:eastAsia="MS Mincho" w:hAnsi="Arial" w:cs="Arial"/>
          <w:lang w:val="en-US"/>
        </w:rPr>
        <w:t>ɸ</w:t>
      </w:r>
      <w:r w:rsidR="0049237B" w:rsidRPr="004F468E">
        <w:rPr>
          <w:rFonts w:ascii="Century Gothic" w:eastAsia="MS Mincho" w:hAnsi="Century Gothic" w:cs="Arial"/>
          <w:lang w:val="en-US"/>
        </w:rPr>
        <w:t>250.</w:t>
      </w:r>
    </w:p>
    <w:p w14:paraId="5F5903C6" w14:textId="1A64CB93" w:rsidR="004F468E" w:rsidRDefault="0049237B" w:rsidP="004F468E">
      <w:pPr>
        <w:pStyle w:val="ListParagraph"/>
        <w:numPr>
          <w:ilvl w:val="0"/>
          <w:numId w:val="2"/>
        </w:numPr>
        <w:spacing w:before="120" w:after="120" w:line="360" w:lineRule="auto"/>
        <w:rPr>
          <w:rFonts w:ascii="Century Gothic" w:eastAsia="MS Mincho" w:hAnsi="Century Gothic" w:cs="Arial"/>
          <w:lang w:val="en-US"/>
        </w:rPr>
      </w:pPr>
      <w:r w:rsidRPr="004F468E">
        <w:rPr>
          <w:rFonts w:ascii="Century Gothic" w:eastAsia="MS Mincho" w:hAnsi="Century Gothic" w:cs="Arial"/>
          <w:lang w:val="en-US"/>
        </w:rPr>
        <w:t>Die GGBK kan in sodanige geval waar ’n bord, teken of plakkaat ongemagtig opgerig en/of vertoon word, ’n skriftelike kennisgewing aan die betrokke persoon rig om die betrokke ongemagtigde bord, teken of plakkaat binne ’n tydperk van 5 (vyf) werksdae te verwyder, of sodanige ander aksie te neem soos wat die GGBK mag aandui, by versuim waarvan die betrokke persoon</w:t>
      </w:r>
      <w:r w:rsidR="00892472">
        <w:rPr>
          <w:rFonts w:ascii="Century Gothic" w:eastAsia="MS Mincho" w:hAnsi="Century Gothic" w:cs="Arial"/>
          <w:lang w:val="en-US"/>
        </w:rPr>
        <w:t xml:space="preserve"> vervolgens</w:t>
      </w:r>
      <w:r w:rsidRPr="004F468E">
        <w:rPr>
          <w:rFonts w:ascii="Century Gothic" w:eastAsia="MS Mincho" w:hAnsi="Century Gothic" w:cs="Arial"/>
          <w:lang w:val="en-US"/>
        </w:rPr>
        <w:t xml:space="preserve"> </w:t>
      </w:r>
      <w:r w:rsidR="004F468E" w:rsidRPr="004F468E">
        <w:rPr>
          <w:rFonts w:ascii="Century Gothic" w:eastAsia="MS Mincho" w:hAnsi="Century Gothic" w:cs="Arial"/>
          <w:lang w:val="en-US"/>
        </w:rPr>
        <w:t xml:space="preserve">’n boete van </w:t>
      </w:r>
      <w:r w:rsidR="004F468E" w:rsidRPr="004F468E">
        <w:rPr>
          <w:rFonts w:ascii="Arial" w:eastAsia="MS Mincho" w:hAnsi="Arial" w:cs="Arial"/>
          <w:lang w:val="en-US"/>
        </w:rPr>
        <w:t>ɸ</w:t>
      </w:r>
      <w:r w:rsidR="004F468E" w:rsidRPr="004F468E">
        <w:rPr>
          <w:rFonts w:ascii="Century Gothic" w:eastAsia="MS Mincho" w:hAnsi="Century Gothic" w:cs="Arial"/>
          <w:lang w:val="en-US"/>
        </w:rPr>
        <w:t xml:space="preserve">100 per </w:t>
      </w:r>
      <w:proofErr w:type="spellStart"/>
      <w:r w:rsidR="004F468E" w:rsidRPr="004F468E">
        <w:rPr>
          <w:rFonts w:ascii="Century Gothic" w:eastAsia="MS Mincho" w:hAnsi="Century Gothic" w:cs="Arial"/>
          <w:lang w:val="en-US"/>
        </w:rPr>
        <w:t>dag</w:t>
      </w:r>
      <w:proofErr w:type="spellEnd"/>
      <w:r w:rsidR="004F468E" w:rsidRPr="004F468E">
        <w:rPr>
          <w:rFonts w:ascii="Century Gothic" w:eastAsia="MS Mincho" w:hAnsi="Century Gothic" w:cs="Arial"/>
          <w:lang w:val="en-US"/>
        </w:rPr>
        <w:t xml:space="preserve"> ontvang vir solank as wat die versuim voortduur. </w:t>
      </w:r>
    </w:p>
    <w:p w14:paraId="2612B57C" w14:textId="4355ACD9" w:rsidR="00C4467E" w:rsidRPr="004F468E" w:rsidRDefault="0031538F" w:rsidP="004F468E">
      <w:pPr>
        <w:pStyle w:val="ListParagraph"/>
        <w:numPr>
          <w:ilvl w:val="0"/>
          <w:numId w:val="2"/>
        </w:numPr>
        <w:spacing w:before="120" w:after="120" w:line="360" w:lineRule="auto"/>
        <w:rPr>
          <w:rFonts w:ascii="Century Gothic" w:eastAsia="MS Mincho" w:hAnsi="Century Gothic" w:cs="Arial"/>
          <w:lang w:val="en-US"/>
        </w:rPr>
      </w:pPr>
      <w:r w:rsidRPr="0031538F">
        <w:rPr>
          <w:rFonts w:ascii="Century Gothic" w:eastAsia="MS Mincho" w:hAnsi="Century Gothic" w:cs="Arial"/>
          <w:lang w:val="en-US"/>
        </w:rPr>
        <w:t>In die geval waar enige bord, teken of plakkaat deur enige persoon sonder die vereiste vooraf verkreë goedkeuring op enige aandeelblok op</w:t>
      </w:r>
      <w:r w:rsidR="00B23D69">
        <w:rPr>
          <w:rFonts w:ascii="Century Gothic" w:eastAsia="MS Mincho" w:hAnsi="Century Gothic" w:cs="Arial"/>
          <w:lang w:val="en-US"/>
        </w:rPr>
        <w:t>gerig word</w:t>
      </w:r>
      <w:r>
        <w:rPr>
          <w:rFonts w:ascii="Century Gothic" w:eastAsia="MS Mincho" w:hAnsi="Century Gothic" w:cs="Arial"/>
          <w:lang w:val="en-US"/>
        </w:rPr>
        <w:t xml:space="preserve">, of </w:t>
      </w:r>
      <w:r w:rsidR="00235369">
        <w:rPr>
          <w:rFonts w:ascii="Century Gothic" w:eastAsia="MS Mincho" w:hAnsi="Century Gothic" w:cs="Arial"/>
          <w:lang w:val="en-US"/>
        </w:rPr>
        <w:t xml:space="preserve">hy of sy </w:t>
      </w:r>
      <w:r>
        <w:rPr>
          <w:rFonts w:ascii="Century Gothic" w:eastAsia="MS Mincho" w:hAnsi="Century Gothic" w:cs="Arial"/>
          <w:lang w:val="en-US"/>
        </w:rPr>
        <w:t xml:space="preserve">na kennisgewing versuim om die bord, teken of plakkaat te verwyder of sodanige ander aksie te neem soos wat die GGBK mag aandui, </w:t>
      </w:r>
      <w:r w:rsidRPr="0031538F">
        <w:rPr>
          <w:rFonts w:ascii="Century Gothic" w:eastAsia="MS Mincho" w:hAnsi="Century Gothic" w:cs="Arial"/>
          <w:lang w:val="en-US"/>
        </w:rPr>
        <w:t xml:space="preserve">en waar sodanige persoon nie ook die aandeelhouer van die betrokke aandeelblok is nie, is sodanige persoon en die aandeelhouer van die betrokke aandeelblok gesamentlik en afsonderlik, die een betaal die ander om vrygeskeld te word, vir enige en alle boetes vir voortgesette versuim om aan die bepalings </w:t>
      </w:r>
      <w:r>
        <w:rPr>
          <w:rFonts w:ascii="Century Gothic" w:eastAsia="MS Mincho" w:hAnsi="Century Gothic" w:cs="Arial"/>
          <w:lang w:val="en-US"/>
        </w:rPr>
        <w:t>hier</w:t>
      </w:r>
      <w:r w:rsidRPr="0031538F">
        <w:rPr>
          <w:rFonts w:ascii="Century Gothic" w:eastAsia="MS Mincho" w:hAnsi="Century Gothic" w:cs="Arial"/>
          <w:lang w:val="en-US"/>
        </w:rPr>
        <w:t>van te voldoen aanspreeklik.</w:t>
      </w:r>
    </w:p>
    <w:p w14:paraId="00ED77F7" w14:textId="5D4BD135" w:rsidR="004F468E" w:rsidRPr="004F468E" w:rsidRDefault="004F468E" w:rsidP="004F468E">
      <w:pPr>
        <w:pStyle w:val="ListParagraph"/>
        <w:numPr>
          <w:ilvl w:val="0"/>
          <w:numId w:val="2"/>
        </w:numPr>
        <w:spacing w:before="120" w:after="120" w:line="360" w:lineRule="auto"/>
        <w:rPr>
          <w:rFonts w:ascii="Century Gothic" w:eastAsia="MS Mincho" w:hAnsi="Century Gothic" w:cs="Arial"/>
          <w:lang w:val="en-US"/>
        </w:rPr>
      </w:pPr>
      <w:r w:rsidRPr="004F468E">
        <w:rPr>
          <w:rFonts w:ascii="Century Gothic" w:eastAsia="MS Mincho" w:hAnsi="Century Gothic" w:cs="Arial"/>
          <w:lang w:val="en-US"/>
        </w:rPr>
        <w:t>OAB kan enige en alle ander remedies beskikbaar uitoefen ten einde die nakoming van hierdie bepaling af te dwing, insluitend om sodanige persoon vir die nie-nakoming van ’n Dorpsraad bepaling vir ’n Dissiplinêre Verhoor by wyse van ’n klagte in die verband te verwys</w:t>
      </w:r>
      <w:r w:rsidR="0031538F">
        <w:rPr>
          <w:rFonts w:ascii="Century Gothic" w:eastAsia="MS Mincho" w:hAnsi="Century Gothic" w:cs="Arial"/>
          <w:lang w:val="en-US"/>
        </w:rPr>
        <w:t xml:space="preserve"> asook om enige en alle borde, tekens en plakkate wat sonder die vereiste vooraf goedkeuring in </w:t>
      </w:r>
      <w:r w:rsidR="00CE7B6B">
        <w:rPr>
          <w:rFonts w:ascii="Century Gothic" w:eastAsia="MS Mincho" w:hAnsi="Century Gothic" w:cs="Arial"/>
          <w:lang w:val="en-US"/>
        </w:rPr>
        <w:t xml:space="preserve">’n </w:t>
      </w:r>
      <w:r w:rsidR="0031538F">
        <w:rPr>
          <w:rFonts w:ascii="Century Gothic" w:eastAsia="MS Mincho" w:hAnsi="Century Gothic" w:cs="Arial"/>
          <w:lang w:val="en-US"/>
        </w:rPr>
        <w:t xml:space="preserve">gemeenskaplike </w:t>
      </w:r>
      <w:proofErr w:type="spellStart"/>
      <w:r w:rsidR="009C42E0">
        <w:rPr>
          <w:rFonts w:ascii="Century Gothic" w:eastAsia="MS Mincho" w:hAnsi="Century Gothic" w:cs="Arial"/>
          <w:lang w:val="en-US"/>
        </w:rPr>
        <w:t>gebruiks</w:t>
      </w:r>
      <w:r w:rsidR="0031538F">
        <w:rPr>
          <w:rFonts w:ascii="Century Gothic" w:eastAsia="MS Mincho" w:hAnsi="Century Gothic" w:cs="Arial"/>
          <w:lang w:val="en-US"/>
        </w:rPr>
        <w:t>area</w:t>
      </w:r>
      <w:proofErr w:type="spellEnd"/>
      <w:r w:rsidR="0031538F">
        <w:rPr>
          <w:rFonts w:ascii="Century Gothic" w:eastAsia="MS Mincho" w:hAnsi="Century Gothic" w:cs="Arial"/>
          <w:lang w:val="en-US"/>
        </w:rPr>
        <w:t xml:space="preserve"> en Orania paaie opgerig word te skut.</w:t>
      </w:r>
    </w:p>
    <w:sectPr w:rsidR="004F468E" w:rsidRPr="004F46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51338"/>
    <w:multiLevelType w:val="hybridMultilevel"/>
    <w:tmpl w:val="F1CE274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399F3727"/>
    <w:multiLevelType w:val="hybridMultilevel"/>
    <w:tmpl w:val="4E56968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2095972772">
    <w:abstractNumId w:val="1"/>
  </w:num>
  <w:num w:numId="2" w16cid:durableId="1201549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E4E"/>
    <w:rsid w:val="00235369"/>
    <w:rsid w:val="00281C50"/>
    <w:rsid w:val="0031538F"/>
    <w:rsid w:val="0049237B"/>
    <w:rsid w:val="004F468E"/>
    <w:rsid w:val="006E5B82"/>
    <w:rsid w:val="00803E4E"/>
    <w:rsid w:val="00880263"/>
    <w:rsid w:val="00892472"/>
    <w:rsid w:val="008A4D69"/>
    <w:rsid w:val="009C42E0"/>
    <w:rsid w:val="00B23D69"/>
    <w:rsid w:val="00B377BB"/>
    <w:rsid w:val="00B77570"/>
    <w:rsid w:val="00C4467E"/>
    <w:rsid w:val="00CE1D44"/>
    <w:rsid w:val="00CE7B6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3DF1B"/>
  <w15:chartTrackingRefBased/>
  <w15:docId w15:val="{8FAE4186-7C88-42CA-A5F4-ADA3F477C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3E4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03E4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03E4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03E4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03E4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03E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3E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3E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3E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E4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03E4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03E4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3E4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03E4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03E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3E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3E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3E4E"/>
    <w:rPr>
      <w:rFonts w:eastAsiaTheme="majorEastAsia" w:cstheme="majorBidi"/>
      <w:color w:val="272727" w:themeColor="text1" w:themeTint="D8"/>
    </w:rPr>
  </w:style>
  <w:style w:type="paragraph" w:styleId="Title">
    <w:name w:val="Title"/>
    <w:basedOn w:val="Normal"/>
    <w:next w:val="Normal"/>
    <w:link w:val="TitleChar"/>
    <w:uiPriority w:val="10"/>
    <w:qFormat/>
    <w:rsid w:val="00803E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3E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3E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3E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3E4E"/>
    <w:pPr>
      <w:spacing w:before="160"/>
      <w:jc w:val="center"/>
    </w:pPr>
    <w:rPr>
      <w:i/>
      <w:iCs/>
      <w:color w:val="404040" w:themeColor="text1" w:themeTint="BF"/>
    </w:rPr>
  </w:style>
  <w:style w:type="character" w:customStyle="1" w:styleId="QuoteChar">
    <w:name w:val="Quote Char"/>
    <w:basedOn w:val="DefaultParagraphFont"/>
    <w:link w:val="Quote"/>
    <w:uiPriority w:val="29"/>
    <w:rsid w:val="00803E4E"/>
    <w:rPr>
      <w:i/>
      <w:iCs/>
      <w:color w:val="404040" w:themeColor="text1" w:themeTint="BF"/>
    </w:rPr>
  </w:style>
  <w:style w:type="paragraph" w:styleId="ListParagraph">
    <w:name w:val="List Paragraph"/>
    <w:basedOn w:val="Normal"/>
    <w:uiPriority w:val="34"/>
    <w:qFormat/>
    <w:rsid w:val="00803E4E"/>
    <w:pPr>
      <w:ind w:left="720"/>
      <w:contextualSpacing/>
    </w:pPr>
  </w:style>
  <w:style w:type="character" w:styleId="IntenseEmphasis">
    <w:name w:val="Intense Emphasis"/>
    <w:basedOn w:val="DefaultParagraphFont"/>
    <w:uiPriority w:val="21"/>
    <w:qFormat/>
    <w:rsid w:val="00803E4E"/>
    <w:rPr>
      <w:i/>
      <w:iCs/>
      <w:color w:val="2F5496" w:themeColor="accent1" w:themeShade="BF"/>
    </w:rPr>
  </w:style>
  <w:style w:type="paragraph" w:styleId="IntenseQuote">
    <w:name w:val="Intense Quote"/>
    <w:basedOn w:val="Normal"/>
    <w:next w:val="Normal"/>
    <w:link w:val="IntenseQuoteChar"/>
    <w:uiPriority w:val="30"/>
    <w:qFormat/>
    <w:rsid w:val="00803E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03E4E"/>
    <w:rPr>
      <w:i/>
      <w:iCs/>
      <w:color w:val="2F5496" w:themeColor="accent1" w:themeShade="BF"/>
    </w:rPr>
  </w:style>
  <w:style w:type="character" w:styleId="IntenseReference">
    <w:name w:val="Intense Reference"/>
    <w:basedOn w:val="DefaultParagraphFont"/>
    <w:uiPriority w:val="32"/>
    <w:qFormat/>
    <w:rsid w:val="00803E4E"/>
    <w:rPr>
      <w:b/>
      <w:bCs/>
      <w:smallCaps/>
      <w:color w:val="2F5496" w:themeColor="accent1" w:themeShade="BF"/>
      <w:spacing w:val="5"/>
    </w:rPr>
  </w:style>
  <w:style w:type="table" w:customStyle="1" w:styleId="TableGrid1">
    <w:name w:val="Table Grid1"/>
    <w:basedOn w:val="TableNormal"/>
    <w:next w:val="TableGrid"/>
    <w:uiPriority w:val="39"/>
    <w:rsid w:val="00803E4E"/>
    <w:pPr>
      <w:spacing w:after="0" w:line="240" w:lineRule="auto"/>
    </w:pPr>
    <w:rPr>
      <w:rFonts w:eastAsia="MS Mincho"/>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03E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E5B8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449</Words>
  <Characters>2564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van Zyl : Orania Dorpsraad</dc:creator>
  <cp:keywords/>
  <dc:description/>
  <cp:lastModifiedBy>Jan van Zyl : Orania Dorpsraad</cp:lastModifiedBy>
  <cp:revision>6</cp:revision>
  <dcterms:created xsi:type="dcterms:W3CDTF">2025-11-12T12:28:00Z</dcterms:created>
  <dcterms:modified xsi:type="dcterms:W3CDTF">2025-11-12T12:34:00Z</dcterms:modified>
</cp:coreProperties>
</file>